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36EE2" w:rsidRPr="00936EE2" w:rsidRDefault="00936EE2" w:rsidP="00936EE2">
      <w:pPr>
        <w:shd w:val="clear" w:color="auto" w:fill="FFFFFF"/>
        <w:spacing w:after="120" w:line="360" w:lineRule="auto"/>
        <w:jc w:val="center"/>
        <w:outlineLvl w:val="0"/>
        <w:rPr>
          <w:rFonts w:asciiTheme="majorBidi" w:eastAsia="Times New Roman" w:hAnsiTheme="majorBidi" w:cstheme="majorBidi"/>
          <w:b/>
          <w:color w:val="000000" w:themeColor="text1"/>
          <w:kern w:val="36"/>
          <w:sz w:val="24"/>
          <w:szCs w:val="24"/>
        </w:rPr>
      </w:pPr>
      <w:bookmarkStart w:id="0" w:name="_GoBack"/>
      <w:r w:rsidRPr="00936EE2">
        <w:rPr>
          <w:rFonts w:asciiTheme="majorBidi" w:eastAsia="Times New Roman" w:hAnsiTheme="majorBidi" w:cstheme="majorBidi"/>
          <w:b/>
          <w:color w:val="000000" w:themeColor="text1"/>
          <w:kern w:val="36"/>
          <w:sz w:val="24"/>
          <w:szCs w:val="24"/>
        </w:rPr>
        <w:t>β-Lactoglobulin based nanoparticles as a Delivery System for Quercetin</w:t>
      </w:r>
    </w:p>
    <w:bookmarkEnd w:id="0"/>
    <w:p w:rsidR="00936EE2" w:rsidRPr="00936EE2" w:rsidRDefault="00936EE2" w:rsidP="00936EE2">
      <w:pPr>
        <w:shd w:val="clear" w:color="auto" w:fill="FFFFFF"/>
        <w:spacing w:after="120" w:line="360" w:lineRule="auto"/>
        <w:jc w:val="center"/>
        <w:outlineLvl w:val="0"/>
        <w:rPr>
          <w:rFonts w:asciiTheme="majorBidi" w:eastAsia="Times New Roman" w:hAnsiTheme="majorBidi" w:cstheme="majorBidi"/>
          <w:bCs/>
          <w:color w:val="000000" w:themeColor="text1"/>
          <w:kern w:val="36"/>
          <w:sz w:val="24"/>
          <w:szCs w:val="24"/>
        </w:rPr>
      </w:pPr>
      <w:r w:rsidRPr="00936EE2">
        <w:rPr>
          <w:rFonts w:asciiTheme="majorBidi" w:eastAsia="Times New Roman" w:hAnsiTheme="majorBidi" w:cstheme="majorBidi"/>
          <w:bCs/>
          <w:color w:val="000000" w:themeColor="text1"/>
          <w:kern w:val="36"/>
          <w:sz w:val="24"/>
          <w:szCs w:val="24"/>
        </w:rPr>
        <w:t xml:space="preserve">Zahra </w:t>
      </w:r>
      <w:proofErr w:type="spellStart"/>
      <w:r w:rsidRPr="00936EE2">
        <w:rPr>
          <w:rFonts w:asciiTheme="majorBidi" w:eastAsia="Times New Roman" w:hAnsiTheme="majorBidi" w:cstheme="majorBidi"/>
          <w:bCs/>
          <w:color w:val="000000" w:themeColor="text1"/>
          <w:kern w:val="36"/>
          <w:sz w:val="24"/>
          <w:szCs w:val="24"/>
        </w:rPr>
        <w:t>Chavoshpour-Natanzi</w:t>
      </w:r>
      <w:proofErr w:type="spellEnd"/>
      <w:r w:rsidRPr="00936EE2">
        <w:rPr>
          <w:rFonts w:asciiTheme="majorBidi" w:eastAsia="Times New Roman" w:hAnsiTheme="majorBidi" w:cstheme="majorBidi"/>
          <w:bCs/>
          <w:color w:val="000000" w:themeColor="text1"/>
          <w:kern w:val="36"/>
          <w:sz w:val="24"/>
          <w:szCs w:val="24"/>
        </w:rPr>
        <w:t xml:space="preserve">, Mehdi </w:t>
      </w:r>
      <w:proofErr w:type="spellStart"/>
      <w:r w:rsidRPr="00936EE2">
        <w:rPr>
          <w:rFonts w:asciiTheme="majorBidi" w:eastAsia="Times New Roman" w:hAnsiTheme="majorBidi" w:cstheme="majorBidi"/>
          <w:bCs/>
          <w:color w:val="000000" w:themeColor="text1"/>
          <w:kern w:val="36"/>
          <w:sz w:val="24"/>
          <w:szCs w:val="24"/>
        </w:rPr>
        <w:t>Sahihi</w:t>
      </w:r>
      <w:proofErr w:type="spellEnd"/>
      <w:r w:rsidRPr="00936EE2">
        <w:rPr>
          <w:rFonts w:asciiTheme="majorBidi" w:eastAsia="Times New Roman" w:hAnsiTheme="majorBidi" w:cstheme="majorBidi"/>
          <w:bCs/>
          <w:color w:val="000000" w:themeColor="text1"/>
          <w:kern w:val="36"/>
          <w:sz w:val="24"/>
          <w:szCs w:val="24"/>
        </w:rPr>
        <w:t>*</w:t>
      </w:r>
    </w:p>
    <w:p w:rsidR="00936EE2" w:rsidRPr="00936EE2" w:rsidRDefault="00936EE2" w:rsidP="00936EE2">
      <w:pPr>
        <w:shd w:val="clear" w:color="auto" w:fill="FFFFFF"/>
        <w:spacing w:after="120" w:line="360" w:lineRule="auto"/>
        <w:jc w:val="center"/>
        <w:outlineLvl w:val="0"/>
        <w:rPr>
          <w:rFonts w:asciiTheme="majorBidi" w:eastAsia="Times New Roman" w:hAnsiTheme="majorBidi" w:cstheme="majorBidi"/>
          <w:bCs/>
          <w:i/>
          <w:iCs/>
          <w:color w:val="000000" w:themeColor="text1"/>
          <w:kern w:val="36"/>
          <w:sz w:val="24"/>
          <w:szCs w:val="24"/>
        </w:rPr>
      </w:pPr>
      <w:r w:rsidRPr="00936EE2">
        <w:rPr>
          <w:rFonts w:asciiTheme="majorBidi" w:eastAsia="Times New Roman" w:hAnsiTheme="majorBidi" w:cstheme="majorBidi"/>
          <w:bCs/>
          <w:i/>
          <w:iCs/>
          <w:color w:val="000000" w:themeColor="text1"/>
          <w:kern w:val="36"/>
          <w:sz w:val="24"/>
          <w:szCs w:val="24"/>
        </w:rPr>
        <w:t>Department of Chemistry, University of Isfahan, Isfahan, 81746-73441, Iran</w:t>
      </w:r>
    </w:p>
    <w:p w:rsidR="00936EE2" w:rsidRPr="00936EE2" w:rsidRDefault="00936EE2" w:rsidP="00936EE2">
      <w:pPr>
        <w:autoSpaceDE w:val="0"/>
        <w:autoSpaceDN w:val="0"/>
        <w:adjustRightInd w:val="0"/>
        <w:spacing w:after="0" w:line="360" w:lineRule="auto"/>
        <w:jc w:val="both"/>
        <w:rPr>
          <w:rFonts w:asciiTheme="majorBidi" w:hAnsiTheme="majorBidi" w:cstheme="majorBidi"/>
          <w:color w:val="000000"/>
        </w:rPr>
      </w:pPr>
      <w:r w:rsidRPr="00936EE2">
        <w:rPr>
          <w:rFonts w:asciiTheme="majorBidi" w:hAnsiTheme="majorBidi" w:cstheme="majorBidi"/>
          <w:color w:val="000000"/>
        </w:rPr>
        <w:t xml:space="preserve">Proteins are used as attractive bioavailability enhancers for poorly absorbed </w:t>
      </w:r>
      <w:proofErr w:type="spellStart"/>
      <w:r w:rsidRPr="00936EE2">
        <w:rPr>
          <w:rFonts w:asciiTheme="majorBidi" w:hAnsiTheme="majorBidi" w:cstheme="majorBidi"/>
        </w:rPr>
        <w:t>n</w:t>
      </w:r>
      <w:r w:rsidRPr="00936EE2">
        <w:rPr>
          <w:rFonts w:asciiTheme="majorBidi" w:hAnsiTheme="majorBidi" w:cstheme="majorBidi"/>
          <w:color w:val="000000"/>
        </w:rPr>
        <w:t>utra</w:t>
      </w:r>
      <w:proofErr w:type="spellEnd"/>
      <w:r w:rsidRPr="00936EE2">
        <w:rPr>
          <w:rFonts w:asciiTheme="majorBidi" w:hAnsiTheme="majorBidi" w:cstheme="majorBidi"/>
          <w:color w:val="000000"/>
        </w:rPr>
        <w:t xml:space="preserve"> and pharmaceuticals due to their natural abundance, amphiphilic nature, and desirable biocompatibility. In the present study, the preparation, characterization, and application of </w:t>
      </w:r>
      <w:r w:rsidRPr="00936EE2">
        <w:rPr>
          <w:rFonts w:asciiTheme="majorBidi" w:hAnsiTheme="majorBidi" w:cstheme="majorBidi"/>
          <w:bCs/>
          <w:color w:val="000000"/>
        </w:rPr>
        <w:t xml:space="preserve">β-Lactoglobulin (BLG) </w:t>
      </w:r>
      <w:r w:rsidRPr="00936EE2">
        <w:rPr>
          <w:rFonts w:asciiTheme="majorBidi" w:hAnsiTheme="majorBidi" w:cstheme="majorBidi"/>
          <w:color w:val="000000"/>
        </w:rPr>
        <w:t>based nanoparticles for encapsulation of quercetin was systematically investigated.</w:t>
      </w:r>
      <w:r w:rsidRPr="00936EE2">
        <w:rPr>
          <w:sz w:val="20"/>
          <w:szCs w:val="20"/>
        </w:rPr>
        <w:t xml:space="preserve"> </w:t>
      </w:r>
      <w:r w:rsidRPr="00936EE2">
        <w:rPr>
          <w:rFonts w:asciiTheme="majorBidi" w:hAnsiTheme="majorBidi" w:cstheme="majorBidi"/>
          <w:color w:val="000000"/>
        </w:rPr>
        <w:t>The particle formation involved partial unfolding of protein molecules, limited aggregation in the presence of the anti-solvent, crosslinking via chemical bonds, and refolding of the constituent monomers</w:t>
      </w:r>
      <w:r w:rsidRPr="00936EE2">
        <w:rPr>
          <w:rFonts w:ascii="Times New Roman" w:hAnsi="Times New Roman" w:cs="Times New Roman"/>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sidRPr="00936EE2">
        <w:rPr>
          <w:rFonts w:asciiTheme="majorBidi" w:hAnsiTheme="majorBidi" w:cstheme="majorBidi"/>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Pr="00936EE2">
        <w:rPr>
          <w:rFonts w:asciiTheme="majorBidi" w:hAnsiTheme="majorBidi" w:cstheme="majorBidi"/>
          <w:color w:val="000000"/>
        </w:rPr>
        <w:t xml:space="preserve">The results showed that acetone anti-solvent had a significant effect on the accumulation of BLG-quercetin nanoparticles. Adjustment of acetone to the reasonable value of 10% v/v, acetone/water followed by mild evaporation led to a notable improvement in Encapsulation Eﬃciency (EE%) and Loading Eﬃciency (LE%), which rises the loading Eﬃciency by about 13.9%. In addition, optimizing the amount of glutaraldehyde and its reducing to 50% of equivalent, led to a reduction in toxicity of the drug carrier system. The nanoparticles with a mean particle size of about 180-300 nm and semispherical appearance were approved using the Atomic Force Microscopic (AFM) and Field Emission Scanning Electron Microscopy (FESEM) images. Protein nanoparticles may be digested at different stages of the gastrointestinal tract depending on acidity, ionic strength, or specificity of proteases (pepsin and trypsin) to their amino acid composition. Also, Secondary structure of proteins can also affect digestibility. This study suggested that BLG as a resistant protein to peptic digestion could form nanoparticles that were digestible by pepsin at pH=5, due to the breakage of amide bonds formed with glutaraldehyde. As a result, no controlled release of quercetin was observed under simulated fed condition. However, satisfactory controlled release was achieved under simulated fast condition, i.e., digestion in simulated gastric fluid (SGF) at pH=2 and then in simulated intestinal fluid (SIF).  Furthermore, the mechanism of drug release in the buffer environment was well-fitted by the Korsmeyear-Peppas kinetic model. Therefore, the release of drug with different concentrations can be predicted by this kinetic model. The </w:t>
      </w:r>
      <w:r w:rsidRPr="00936EE2">
        <w:rPr>
          <w:rFonts w:asciiTheme="majorBidi" w:hAnsiTheme="majorBidi" w:cstheme="majorBidi"/>
        </w:rPr>
        <w:t>conclusions</w:t>
      </w:r>
      <w:r w:rsidRPr="00936EE2">
        <w:rPr>
          <w:rFonts w:asciiTheme="majorBidi" w:hAnsiTheme="majorBidi" w:cstheme="majorBidi"/>
          <w:color w:val="000000"/>
        </w:rPr>
        <w:t xml:space="preserve"> from this study may apply not only to the quercetin-BLG system, but also to a wide array of encapsulation systems consisting of a water-soluble protein and a hydrophobic target compound. Therefore, this study provides insight into the assembly and disassembly of protein nanoparticles, and it may shed light to the development of encapsulating other flavonoids with adequate LE and reduced toxicity.</w:t>
      </w:r>
    </w:p>
    <w:p w:rsidR="00936EE2" w:rsidRPr="00936EE2" w:rsidRDefault="00936EE2" w:rsidP="00936EE2">
      <w:pPr>
        <w:autoSpaceDE w:val="0"/>
        <w:autoSpaceDN w:val="0"/>
        <w:adjustRightInd w:val="0"/>
        <w:spacing w:after="0" w:line="360" w:lineRule="auto"/>
        <w:jc w:val="both"/>
        <w:rPr>
          <w:rFonts w:asciiTheme="majorBidi" w:hAnsiTheme="majorBidi" w:cstheme="majorBidi"/>
          <w:color w:val="000000"/>
          <w:sz w:val="24"/>
          <w:szCs w:val="24"/>
        </w:rPr>
      </w:pPr>
      <w:r w:rsidRPr="00936EE2">
        <w:rPr>
          <w:rFonts w:asciiTheme="majorBidi" w:hAnsiTheme="majorBidi" w:cstheme="majorBidi"/>
          <w:color w:val="000000"/>
          <w:sz w:val="24"/>
          <w:szCs w:val="24"/>
          <w:rtl/>
        </w:rPr>
        <w:t xml:space="preserve"> </w:t>
      </w:r>
    </w:p>
    <w:p w:rsidR="00936EE2" w:rsidRPr="00936EE2" w:rsidRDefault="00936EE2" w:rsidP="00936EE2">
      <w:pPr>
        <w:spacing w:line="360" w:lineRule="auto"/>
        <w:jc w:val="both"/>
        <w:rPr>
          <w:rFonts w:asciiTheme="majorBidi" w:hAnsiTheme="majorBidi" w:cstheme="majorBidi"/>
          <w:sz w:val="24"/>
          <w:szCs w:val="24"/>
        </w:rPr>
      </w:pPr>
      <w:r w:rsidRPr="00936EE2">
        <w:rPr>
          <w:rFonts w:asciiTheme="majorBidi" w:hAnsiTheme="majorBidi" w:cstheme="majorBidi"/>
          <w:b/>
          <w:bCs/>
          <w:sz w:val="24"/>
          <w:szCs w:val="24"/>
        </w:rPr>
        <w:t xml:space="preserve">Keywords: </w:t>
      </w:r>
      <w:r w:rsidRPr="00936EE2">
        <w:rPr>
          <w:rFonts w:asciiTheme="majorBidi" w:hAnsiTheme="majorBidi" w:cstheme="majorBidi"/>
          <w:sz w:val="24"/>
          <w:szCs w:val="24"/>
        </w:rPr>
        <w:t>β-Lactoglubolin nanoparticles, Quercetin, Encapsulation and Drug release.</w:t>
      </w:r>
    </w:p>
    <w:p w:rsidR="0027632F" w:rsidRDefault="0027632F"/>
    <w:sectPr w:rsidR="0027632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36EE2"/>
    <w:rsid w:val="0027632F"/>
    <w:rsid w:val="00936EE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E4B4D5"/>
  <w15:chartTrackingRefBased/>
  <w15:docId w15:val="{BBF376CD-679F-4DE1-A283-A4B78A3D48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444</Words>
  <Characters>2531</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ZaHRa</dc:creator>
  <cp:keywords/>
  <dc:description/>
  <cp:lastModifiedBy>ZaHRa</cp:lastModifiedBy>
  <cp:revision>1</cp:revision>
  <dcterms:created xsi:type="dcterms:W3CDTF">2019-04-13T15:05:00Z</dcterms:created>
  <dcterms:modified xsi:type="dcterms:W3CDTF">2019-04-13T15:06:00Z</dcterms:modified>
</cp:coreProperties>
</file>